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32" w:lineRule="auto"/>
        <w:ind w:firstLine="3080" w:firstLineChars="700"/>
        <w:jc w:val="left"/>
        <w:rPr>
          <w:rFonts w:hint="eastAsia" w:ascii="宋体" w:hAnsi="宋体" w:cs="宋体"/>
          <w:color w:val="333333"/>
          <w:kern w:val="0"/>
          <w:sz w:val="44"/>
          <w:szCs w:val="44"/>
        </w:rPr>
      </w:pPr>
      <w:r>
        <w:rPr>
          <w:rFonts w:hint="eastAsia" w:ascii="宋体" w:hAnsi="宋体" w:cs="宋体"/>
          <w:color w:val="333333"/>
          <w:kern w:val="0"/>
          <w:sz w:val="44"/>
          <w:szCs w:val="44"/>
          <w:lang w:val="en-US" w:eastAsia="zh-CN"/>
        </w:rPr>
        <w:t>榆林</w:t>
      </w:r>
      <w:bookmarkStart w:id="0" w:name="_GoBack"/>
      <w:bookmarkEnd w:id="0"/>
      <w:r>
        <w:rPr>
          <w:rFonts w:hint="eastAsia" w:ascii="宋体" w:hAnsi="宋体" w:cs="宋体"/>
          <w:color w:val="333333"/>
          <w:kern w:val="0"/>
          <w:sz w:val="44"/>
          <w:szCs w:val="44"/>
        </w:rPr>
        <w:t>市财政局</w:t>
      </w:r>
    </w:p>
    <w:p>
      <w:pPr>
        <w:widowControl/>
        <w:shd w:val="clear" w:color="auto" w:fill="FFFFFF"/>
        <w:spacing w:before="100" w:beforeAutospacing="1" w:after="100" w:afterAutospacing="1" w:line="432" w:lineRule="auto"/>
        <w:ind w:firstLine="1760" w:firstLineChars="400"/>
        <w:jc w:val="left"/>
        <w:rPr>
          <w:rFonts w:hint="eastAsia" w:ascii="宋体" w:hAnsi="宋体" w:cs="宋体"/>
          <w:color w:val="333333"/>
          <w:kern w:val="0"/>
          <w:sz w:val="44"/>
          <w:szCs w:val="44"/>
        </w:rPr>
      </w:pPr>
      <w:r>
        <w:rPr>
          <w:rFonts w:hint="eastAsia" w:ascii="宋体" w:hAnsi="宋体" w:cs="宋体"/>
          <w:color w:val="333333"/>
          <w:kern w:val="0"/>
          <w:sz w:val="44"/>
          <w:szCs w:val="44"/>
        </w:rPr>
        <w:t>重大执法决定审核目录清单</w:t>
      </w:r>
    </w:p>
    <w:p>
      <w:pPr>
        <w:widowControl/>
        <w:shd w:val="clear" w:color="auto" w:fill="FFFFFF"/>
        <w:spacing w:before="100" w:beforeAutospacing="1" w:after="100" w:afterAutospacing="1" w:line="360" w:lineRule="auto"/>
        <w:rPr>
          <w:rFonts w:hint="eastAsia" w:ascii="宋体" w:hAnsi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100" w:afterAutospacing="1" w:line="360" w:lineRule="auto"/>
        <w:rPr>
          <w:rFonts w:hint="eastAsia"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（一）可能造成重大社会影响或引起社会风险的；</w:t>
      </w:r>
    </w:p>
    <w:p>
      <w:pPr>
        <w:widowControl/>
        <w:shd w:val="clear" w:color="auto" w:fill="FFFFFF"/>
        <w:spacing w:before="100" w:beforeAutospacing="1" w:after="100" w:afterAutospacing="1" w:line="360" w:lineRule="auto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（二）直接关系行政管理相对人或他人重大权益的；</w:t>
      </w:r>
    </w:p>
    <w:p>
      <w:pPr>
        <w:widowControl/>
        <w:shd w:val="clear" w:color="auto" w:fill="FFFFFF"/>
        <w:spacing w:before="100" w:beforeAutospacing="1" w:after="100" w:afterAutospacing="1" w:line="360" w:lineRule="auto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（三）财政政策实施和执行中产生重大影响的；</w:t>
      </w:r>
    </w:p>
    <w:p>
      <w:pPr>
        <w:widowControl/>
        <w:shd w:val="clear" w:color="auto" w:fill="FFFFFF"/>
        <w:spacing w:before="100" w:beforeAutospacing="1" w:after="100" w:afterAutospacing="1" w:line="360" w:lineRule="auto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（四）所有行政处罚；</w:t>
      </w:r>
    </w:p>
    <w:p>
      <w:pPr>
        <w:widowControl/>
        <w:shd w:val="clear" w:color="auto" w:fill="FFFFFF"/>
        <w:spacing w:before="100" w:beforeAutospacing="1" w:after="100" w:afterAutospacing="1" w:line="360" w:lineRule="auto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（五）财政涉法案件疑难复杂，涉及多个法律关系的；</w:t>
      </w:r>
    </w:p>
    <w:p>
      <w:pPr>
        <w:widowControl/>
        <w:shd w:val="clear" w:color="auto" w:fill="FFFFFF"/>
        <w:spacing w:before="100" w:beforeAutospacing="1" w:after="100" w:afterAutospacing="1" w:line="360" w:lineRule="auto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（六）其他经集体讨论认为需要进行法制审核的；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3285A"/>
    <w:rsid w:val="0A13285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2020-09-13T07:24:00Z</dcterms:created>
  <dc:creator>l</dc:creator>
  <cp:lastModifiedBy>l</cp:lastModifiedBy>
  <dcterms:modified xsi:type="dcterms:W3CDTF">2020-09-13T07:25:23Z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